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2" w:rsidRDefault="00BE1E92" w:rsidP="00870AFC">
      <w:pPr>
        <w:tabs>
          <w:tab w:val="left" w:pos="2661"/>
          <w:tab w:val="center" w:pos="4677"/>
        </w:tabs>
        <w:rPr>
          <w:b/>
          <w:sz w:val="28"/>
          <w:szCs w:val="28"/>
        </w:rPr>
      </w:pPr>
      <w:bookmarkStart w:id="0" w:name="_GoBack"/>
      <w:bookmarkEnd w:id="0"/>
    </w:p>
    <w:p w:rsidR="00870AFC" w:rsidRPr="00603F46" w:rsidRDefault="00870AFC" w:rsidP="00870AFC">
      <w:pPr>
        <w:tabs>
          <w:tab w:val="left" w:pos="2661"/>
          <w:tab w:val="center" w:pos="4677"/>
        </w:tabs>
        <w:rPr>
          <w:b/>
        </w:rPr>
      </w:pPr>
      <w:r w:rsidRPr="00603F46">
        <w:rPr>
          <w:b/>
        </w:rPr>
        <w:t xml:space="preserve">Бланк рекламации №   </w:t>
      </w:r>
      <w:r w:rsidR="00603F46">
        <w:rPr>
          <w:b/>
        </w:rPr>
        <w:t>----------</w:t>
      </w:r>
      <w:r w:rsidRPr="00603F46">
        <w:rPr>
          <w:b/>
        </w:rPr>
        <w:t>/--------</w:t>
      </w:r>
      <w:r w:rsidR="00603F46">
        <w:rPr>
          <w:b/>
        </w:rPr>
        <w:t>---------</w:t>
      </w:r>
    </w:p>
    <w:p w:rsidR="00BE1E92" w:rsidRPr="00C41256" w:rsidRDefault="00BE1E92" w:rsidP="00870AFC">
      <w:pPr>
        <w:tabs>
          <w:tab w:val="left" w:pos="2661"/>
          <w:tab w:val="center" w:pos="4677"/>
        </w:tabs>
        <w:rPr>
          <w:b/>
          <w:sz w:val="32"/>
          <w:szCs w:val="32"/>
          <w:lang w:val="uk-UA"/>
        </w:rPr>
      </w:pPr>
    </w:p>
    <w:tbl>
      <w:tblPr>
        <w:tblW w:w="105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5766"/>
      </w:tblGrid>
      <w:tr w:rsidR="00870AFC" w:rsidRPr="00F84BDF" w:rsidTr="00BE1E92">
        <w:trPr>
          <w:trHeight w:val="376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Название компании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358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Контактное (ответственное) лицо компании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361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Телефон/факс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  <w:r w:rsidRPr="002245B5">
              <w:t xml:space="preserve">  </w:t>
            </w:r>
          </w:p>
        </w:tc>
      </w:tr>
      <w:tr w:rsidR="00870AFC" w:rsidRPr="00F84BDF" w:rsidTr="00BE1E92">
        <w:trPr>
          <w:trHeight w:val="465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Е-</w:t>
            </w:r>
            <w:proofErr w:type="spellStart"/>
            <w:r w:rsidRPr="00603F46">
              <w:t>mail</w:t>
            </w:r>
            <w:proofErr w:type="spellEnd"/>
          </w:p>
        </w:tc>
        <w:tc>
          <w:tcPr>
            <w:tcW w:w="5766" w:type="dxa"/>
          </w:tcPr>
          <w:p w:rsidR="00870AFC" w:rsidRPr="008741B6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465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Название (тип) изделия</w:t>
            </w:r>
          </w:p>
        </w:tc>
        <w:tc>
          <w:tcPr>
            <w:tcW w:w="5766" w:type="dxa"/>
          </w:tcPr>
          <w:p w:rsidR="00870AFC" w:rsidRPr="008741B6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361"/>
        </w:trPr>
        <w:tc>
          <w:tcPr>
            <w:tcW w:w="4822" w:type="dxa"/>
            <w:vAlign w:val="center"/>
          </w:tcPr>
          <w:p w:rsidR="00870AFC" w:rsidRPr="00603F46" w:rsidRDefault="00F22D77" w:rsidP="00A367AA">
            <w:pPr>
              <w:tabs>
                <w:tab w:val="left" w:pos="2661"/>
                <w:tab w:val="center" w:pos="4677"/>
              </w:tabs>
            </w:pPr>
            <w:r w:rsidRPr="00603F46">
              <w:t>Номер щита управления (6 цифр)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BE1E92" w:rsidRPr="00F84BDF" w:rsidTr="00BE1E92">
        <w:trPr>
          <w:trHeight w:val="361"/>
        </w:trPr>
        <w:tc>
          <w:tcPr>
            <w:tcW w:w="4822" w:type="dxa"/>
            <w:vAlign w:val="center"/>
          </w:tcPr>
          <w:p w:rsidR="00BE1E92" w:rsidRPr="00603F46" w:rsidRDefault="00BE1E92" w:rsidP="00A367AA">
            <w:pPr>
              <w:tabs>
                <w:tab w:val="left" w:pos="2661"/>
                <w:tab w:val="center" w:pos="4677"/>
              </w:tabs>
            </w:pPr>
            <w:r w:rsidRPr="00603F46">
              <w:t>Номер заказа</w:t>
            </w:r>
          </w:p>
        </w:tc>
        <w:tc>
          <w:tcPr>
            <w:tcW w:w="5766" w:type="dxa"/>
          </w:tcPr>
          <w:p w:rsidR="00BE1E92" w:rsidRPr="00F84BDF" w:rsidRDefault="00BE1E92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477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Место и адрес места эксплуатации</w:t>
            </w:r>
          </w:p>
        </w:tc>
        <w:tc>
          <w:tcPr>
            <w:tcW w:w="5766" w:type="dxa"/>
          </w:tcPr>
          <w:p w:rsidR="00870AFC" w:rsidRPr="008741B6" w:rsidRDefault="00870AFC" w:rsidP="00A367AA">
            <w:pPr>
              <w:tabs>
                <w:tab w:val="left" w:pos="2661"/>
                <w:tab w:val="center" w:pos="4677"/>
              </w:tabs>
              <w:jc w:val="center"/>
              <w:rPr>
                <w:lang w:val="uk-UA"/>
              </w:rPr>
            </w:pPr>
          </w:p>
        </w:tc>
      </w:tr>
      <w:tr w:rsidR="00870AFC" w:rsidRPr="00F84BDF" w:rsidTr="00BE1E92">
        <w:trPr>
          <w:trHeight w:val="1008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Дата возникновения неисправности</w:t>
            </w:r>
          </w:p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Обстоятельства, при которых была определена неисправность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354"/>
        </w:trPr>
        <w:tc>
          <w:tcPr>
            <w:tcW w:w="4822" w:type="dxa"/>
            <w:vAlign w:val="center"/>
          </w:tcPr>
          <w:p w:rsidR="00870AFC" w:rsidRPr="00603F46" w:rsidRDefault="00870AFC" w:rsidP="00F22D77">
            <w:pPr>
              <w:tabs>
                <w:tab w:val="left" w:pos="2661"/>
                <w:tab w:val="center" w:pos="4677"/>
              </w:tabs>
              <w:rPr>
                <w:vertAlign w:val="subscript"/>
              </w:rPr>
            </w:pPr>
            <w:r w:rsidRPr="00603F46">
              <w:t>Неисправный компонент</w:t>
            </w:r>
            <w:r w:rsidR="00F22D77" w:rsidRPr="00603F46">
              <w:t xml:space="preserve"> (предоставить фото)</w:t>
            </w:r>
          </w:p>
        </w:tc>
        <w:tc>
          <w:tcPr>
            <w:tcW w:w="5766" w:type="dxa"/>
          </w:tcPr>
          <w:p w:rsidR="00870AFC" w:rsidRPr="008741B6" w:rsidRDefault="00870AFC" w:rsidP="00A367AA">
            <w:pPr>
              <w:tabs>
                <w:tab w:val="left" w:pos="2661"/>
                <w:tab w:val="center" w:pos="4677"/>
              </w:tabs>
              <w:jc w:val="center"/>
              <w:rPr>
                <w:lang w:val="uk-UA"/>
              </w:rPr>
            </w:pPr>
          </w:p>
        </w:tc>
      </w:tr>
      <w:tr w:rsidR="00870AFC" w:rsidRPr="00F84BDF" w:rsidTr="00BE1E92">
        <w:trPr>
          <w:trHeight w:val="2531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Описание проблемы (характер неисправности, события, которые предшествовали неисправности – природные явления, перепады напряжения и т.п.).</w:t>
            </w:r>
          </w:p>
          <w:p w:rsidR="00870AFC" w:rsidRPr="00603F46" w:rsidRDefault="00870AFC" w:rsidP="00BE1E92">
            <w:pPr>
              <w:tabs>
                <w:tab w:val="left" w:pos="2661"/>
                <w:tab w:val="center" w:pos="4677"/>
              </w:tabs>
            </w:pPr>
            <w:r w:rsidRPr="00603F46">
              <w:t>Тип, схема подключения, токи на фазах, напряжение в сети. Направление вращения. Температура</w:t>
            </w:r>
            <w:r w:rsidR="00BE1E92" w:rsidRPr="00603F46">
              <w:softHyphen/>
            </w:r>
            <w:r w:rsidR="00BE1E92" w:rsidRPr="00603F46">
              <w:softHyphen/>
            </w:r>
            <w:r w:rsidR="00BE1E92" w:rsidRPr="00603F46">
              <w:softHyphen/>
            </w:r>
            <w:r w:rsidRPr="00603F46">
              <w:t xml:space="preserve"> </w:t>
            </w:r>
            <w:proofErr w:type="spellStart"/>
            <w:r w:rsidRPr="00603F46">
              <w:t>Температура</w:t>
            </w:r>
            <w:proofErr w:type="spellEnd"/>
            <w:r w:rsidRPr="00603F46">
              <w:t xml:space="preserve"> перемещаемого воздуха. Место установки и размещения в системе</w:t>
            </w:r>
          </w:p>
        </w:tc>
        <w:tc>
          <w:tcPr>
            <w:tcW w:w="5766" w:type="dxa"/>
          </w:tcPr>
          <w:p w:rsidR="00870AFC" w:rsidRPr="002245B5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832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Принятые меры (Ваши меры по определению и устранению неисправности)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  <w:tr w:rsidR="00870AFC" w:rsidRPr="00F84BDF" w:rsidTr="00BE1E92">
        <w:trPr>
          <w:trHeight w:val="94"/>
        </w:trPr>
        <w:tc>
          <w:tcPr>
            <w:tcW w:w="4822" w:type="dxa"/>
            <w:vAlign w:val="center"/>
          </w:tcPr>
          <w:p w:rsidR="00870AFC" w:rsidRPr="00603F46" w:rsidRDefault="00870AFC" w:rsidP="00A367AA">
            <w:pPr>
              <w:tabs>
                <w:tab w:val="left" w:pos="2661"/>
                <w:tab w:val="center" w:pos="4677"/>
              </w:tabs>
            </w:pPr>
            <w:r w:rsidRPr="00603F46">
              <w:t>Примечание</w:t>
            </w:r>
          </w:p>
        </w:tc>
        <w:tc>
          <w:tcPr>
            <w:tcW w:w="5766" w:type="dxa"/>
          </w:tcPr>
          <w:p w:rsidR="00870AFC" w:rsidRPr="00F84BDF" w:rsidRDefault="00870AFC" w:rsidP="00A367AA">
            <w:pPr>
              <w:tabs>
                <w:tab w:val="left" w:pos="2661"/>
                <w:tab w:val="center" w:pos="4677"/>
              </w:tabs>
              <w:jc w:val="center"/>
            </w:pPr>
          </w:p>
        </w:tc>
      </w:tr>
    </w:tbl>
    <w:p w:rsidR="00BE1E92" w:rsidRDefault="00BE1E92" w:rsidP="00870AFC">
      <w:pPr>
        <w:tabs>
          <w:tab w:val="left" w:pos="2661"/>
          <w:tab w:val="center" w:pos="4677"/>
        </w:tabs>
        <w:rPr>
          <w:b/>
          <w:sz w:val="20"/>
          <w:szCs w:val="20"/>
        </w:rPr>
      </w:pP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b/>
          <w:sz w:val="16"/>
          <w:szCs w:val="16"/>
        </w:rPr>
        <w:t>Внимание: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 xml:space="preserve">При признании рекламации необоснованной (в продукции отсутствуют недостатки, или определено, что недостатки возникли в следствии обстоятельств, за которые не отвечает Дистрибьютор/Производитель). Покупатель обязуется возместить Дистрибьютору/Производителю расходы, понесенные при рассмотрении рекламации, в </w:t>
      </w:r>
      <w:proofErr w:type="spellStart"/>
      <w:r w:rsidRPr="00BE1E92">
        <w:rPr>
          <w:sz w:val="16"/>
          <w:szCs w:val="16"/>
        </w:rPr>
        <w:t>т.ч</w:t>
      </w:r>
      <w:proofErr w:type="spellEnd"/>
      <w:r w:rsidRPr="00BE1E92">
        <w:rPr>
          <w:sz w:val="16"/>
          <w:szCs w:val="16"/>
        </w:rPr>
        <w:t>. на проведение экспертизы.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Гарантийные обязательства не распространяются на: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- части оборудования и эксплуатационные материалы, которые подлежат природному физическому износу (фильтры, уплотнители, ремни, электролампы, предохранители и т.п.)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- повреждения продукции в следствии: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а) попадания в середину продукции посторонних предметов и жидкостей;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б) природных явлений;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в) влияния внешней среды;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г) деятельности животных;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д) несанкционированного доступа к узлам и деталям продукции лиц, не уполномоченных на проведение указанных действий</w:t>
      </w:r>
      <w:r w:rsidRPr="00BE1E92">
        <w:rPr>
          <w:sz w:val="16"/>
          <w:szCs w:val="16"/>
        </w:rPr>
        <w:softHyphen/>
      </w:r>
      <w:r w:rsidRPr="00BE1E92">
        <w:rPr>
          <w:sz w:val="16"/>
          <w:szCs w:val="16"/>
        </w:rPr>
        <w:softHyphen/>
        <w:t>;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е) все механические повреждения и поломки, произошедшие в следствии невыполнения рекомендаций и требований, которые включает в себя «Инструкция по монтажу и эксплуатации»/ «Технический паспорт»/ «Паспорт», нормы, стандарты и правила проведения работ.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- разнообразные модификации, изменения параметров работы, переработки, ремонты и замены частей продукции, проведенные без согласия на это производителя или его представителя.</w:t>
      </w:r>
    </w:p>
    <w:p w:rsidR="00870AFC" w:rsidRPr="00BE1E92" w:rsidRDefault="00870AFC" w:rsidP="00BE1E92">
      <w:pPr>
        <w:tabs>
          <w:tab w:val="left" w:pos="2661"/>
          <w:tab w:val="center" w:pos="4677"/>
        </w:tabs>
        <w:ind w:left="-284"/>
        <w:rPr>
          <w:sz w:val="16"/>
          <w:szCs w:val="16"/>
        </w:rPr>
      </w:pPr>
      <w:r w:rsidRPr="00BE1E92">
        <w:rPr>
          <w:sz w:val="16"/>
          <w:szCs w:val="16"/>
        </w:rPr>
        <w:t>- текущие регламентные ремонты, осмотры оборудования, конфигурации и программирования контролеров, которые проводятся согласно требований «Инструкции по монтажу и эксплуатации»/ «Технического паспорта»/ «Паспорта» в рамках нормального функционирования продукции.</w:t>
      </w:r>
    </w:p>
    <w:p w:rsidR="00BE1E92" w:rsidRDefault="00BE1E92" w:rsidP="00BE1E92">
      <w:pPr>
        <w:tabs>
          <w:tab w:val="left" w:pos="2661"/>
          <w:tab w:val="center" w:pos="4677"/>
        </w:tabs>
        <w:ind w:left="-284"/>
      </w:pPr>
    </w:p>
    <w:p w:rsidR="00870AFC" w:rsidRPr="00603F46" w:rsidRDefault="00BE1E92" w:rsidP="00603F46">
      <w:pPr>
        <w:ind w:left="-284"/>
      </w:pPr>
      <w:r w:rsidRPr="00603F46">
        <w:t>Заявку составил, с вышеуказаннымиправилами ознакомлен</w:t>
      </w:r>
      <w:r w:rsidR="00870AFC" w:rsidRPr="00603F46">
        <w:t xml:space="preserve">: </w:t>
      </w:r>
      <w:r w:rsidRPr="00603F46">
        <w:t>_____________________/________________________</w:t>
      </w:r>
      <w:r w:rsidR="00870AFC" w:rsidRPr="00603F46">
        <w:rPr>
          <w:u w:val="single"/>
        </w:rPr>
        <w:t>«     »</w:t>
      </w:r>
      <w:r w:rsidRPr="00603F46">
        <w:rPr>
          <w:u w:val="single"/>
        </w:rPr>
        <w:t xml:space="preserve">                   </w:t>
      </w:r>
      <w:r w:rsidR="00603F46" w:rsidRPr="00603F46">
        <w:rPr>
          <w:u w:val="single"/>
        </w:rPr>
        <w:t xml:space="preserve">         </w:t>
      </w:r>
      <w:r w:rsidRPr="00603F46">
        <w:t>2023 г.</w:t>
      </w:r>
    </w:p>
    <w:sectPr w:rsidR="00870AFC" w:rsidRPr="00603F46" w:rsidSect="00B61D2C">
      <w:headerReference w:type="default" r:id="rId8"/>
      <w:pgSz w:w="11906" w:h="16838"/>
      <w:pgMar w:top="1134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87" w:rsidRDefault="00850187" w:rsidP="003255EC">
      <w:r>
        <w:separator/>
      </w:r>
    </w:p>
  </w:endnote>
  <w:endnote w:type="continuationSeparator" w:id="0">
    <w:p w:rsidR="00850187" w:rsidRDefault="00850187" w:rsidP="0032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87" w:rsidRDefault="00850187" w:rsidP="003255EC">
      <w:r>
        <w:separator/>
      </w:r>
    </w:p>
  </w:footnote>
  <w:footnote w:type="continuationSeparator" w:id="0">
    <w:p w:rsidR="00850187" w:rsidRDefault="00850187" w:rsidP="0032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EC" w:rsidRDefault="00B61D2C" w:rsidP="00B61D2C">
    <w:pPr>
      <w:pStyle w:val="a3"/>
    </w:pPr>
    <w:r>
      <w:rPr>
        <w:noProof/>
      </w:rPr>
      <w:drawing>
        <wp:inline distT="0" distB="0" distL="0" distR="0" wp14:anchorId="3EE075A6" wp14:editId="440E4449">
          <wp:extent cx="2405743" cy="598715"/>
          <wp:effectExtent l="0" t="0" r="0" b="0"/>
          <wp:docPr id="4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743" cy="59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inline distT="0" distB="0" distL="0" distR="0" wp14:anchorId="725E7C55" wp14:editId="2DD4C496">
              <wp:extent cx="301625" cy="301625"/>
              <wp:effectExtent l="0" t="0" r="0" b="0"/>
              <wp:docPr id="2" name="Прямоугольник 2" descr="Климатическое оборудование AEROSMA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ямоугольник 2" o:spid="_x0000_s1026" alt="Климатическое оборудование AEROSMAR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xVFAMAAA4GAAAOAAAAZHJzL2Uyb0RvYy54bWysVM1u1DAQviPxDpbvaZIlu91ETdGyPwip&#10;haotD+BNnI1FYgfbbVoQEj8HLkjcufAK5acSooVnyL4RY2d32y0XBPhg2TPjmflmPs/W3ZOyQMdU&#10;KiZ4jP0NDyPKE5EyPovx48OJ08dIacJTUghOY3xKFb67ffvWVl1FtCNyUaRUInDCVVRXMc61riLX&#10;VUlOS6I2REU5KDMhS6LhKmduKkkN3svC7Xhez62FTCspEqoUSEetEm9b/1lGE/0oyxTVqIgx5Kbt&#10;Lu0+Nbu7vUWimSRVzpJFGuQvsigJ4xB05WpENEFHkv3mqmSJFEpkeiMRpSuyjCXUYgA0vncDzUFO&#10;KmqxQHFUtSqT+n9uk4fHexKxNMYdjDgpoUXNx/nL+fvmsvk5f9N8aX42F/N3zY/mW/MdgU1KVQL1&#10;az40FyC6bM7mr5tv87fN+fxV8x2MzxFsn+DtS3j9Fc6fmzP7+hwNxvuPDnYH+4em6nWlIgh+UO1J&#10;UzdV7YjkiUJcDHPCZ3SgKugdMAqyWoqkFHVOSQrwfePCXfNhLgq8oWm9K1LAQY60sD05yWRpYkC1&#10;0Ylt/emq9fREowSEdzy/1+lilIBqcTYRSLR8XEml71NRInOIsYTsrHNyvKN0a7o0MbG4mLCiADmJ&#10;Cr4mAJ+tBELDU6MzSViyPA+9cNwf9wMn6PTGTuCNRs5gMgyc3sTf7I7ujIbDkf/CxPWDKGdpSrkJ&#10;sySuH/wZMRZfqKXcirpKFCw17kxKSs6mw0KiYwIfZ2KXLTlorszc9TRsvQDLDUh+J/DudUJn0utv&#10;OsEk6Drhptd3PD+8F/a8IAxGk3VIO4zTf4eE6hiHXeiphXOV9A1snl2/YyNRyTSMpoKVMe6vjEhk&#10;GDjmqW2tJqxoz9dKYdK/KgW0e9loy1dD0Zb9U5GeAl2lADrBaIIhCodcyGcY1TCQYqyeHhFJMSoe&#10;cKB86AeBmWD2EnQ3O3CR1zXT6xrCE3AVY41RexzqduodVZLNcojk28JwMYBvkjFLYfOF2qwWnwuG&#10;jkWyGJBmql2/W6urMb79Cw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f1aMVRQDAAAOBgAADgAAAAAAAAAAAAAAAAAuAgAAZHJz&#10;L2Uyb0RvYy54bWxQSwECLQAUAAYACAAAACEAaDaXaNoAAAADAQAADwAAAAAAAAAAAAAAAABuBQAA&#10;ZHJzL2Rvd25yZXYueG1sUEsFBgAAAAAEAAQA8wAAAH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C"/>
    <w:rsid w:val="00053500"/>
    <w:rsid w:val="000935D7"/>
    <w:rsid w:val="002C1896"/>
    <w:rsid w:val="003255EC"/>
    <w:rsid w:val="003A200D"/>
    <w:rsid w:val="0053408A"/>
    <w:rsid w:val="005A14B2"/>
    <w:rsid w:val="00603F46"/>
    <w:rsid w:val="006F0FD9"/>
    <w:rsid w:val="0080278F"/>
    <w:rsid w:val="00850187"/>
    <w:rsid w:val="00870AFC"/>
    <w:rsid w:val="008D79B1"/>
    <w:rsid w:val="00B61D2C"/>
    <w:rsid w:val="00BE1E92"/>
    <w:rsid w:val="00C91B5F"/>
    <w:rsid w:val="00D55F0B"/>
    <w:rsid w:val="00E90360"/>
    <w:rsid w:val="00E94330"/>
    <w:rsid w:val="00F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55EC"/>
  </w:style>
  <w:style w:type="paragraph" w:styleId="a5">
    <w:name w:val="footer"/>
    <w:basedOn w:val="a"/>
    <w:link w:val="a6"/>
    <w:uiPriority w:val="99"/>
    <w:unhideWhenUsed/>
    <w:rsid w:val="003255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55EC"/>
  </w:style>
  <w:style w:type="paragraph" w:styleId="a7">
    <w:name w:val="Balloon Text"/>
    <w:basedOn w:val="a"/>
    <w:link w:val="a8"/>
    <w:uiPriority w:val="99"/>
    <w:semiHidden/>
    <w:unhideWhenUsed/>
    <w:rsid w:val="00B61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55EC"/>
  </w:style>
  <w:style w:type="paragraph" w:styleId="a5">
    <w:name w:val="footer"/>
    <w:basedOn w:val="a"/>
    <w:link w:val="a6"/>
    <w:uiPriority w:val="99"/>
    <w:unhideWhenUsed/>
    <w:rsid w:val="003255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55EC"/>
  </w:style>
  <w:style w:type="paragraph" w:styleId="a7">
    <w:name w:val="Balloon Text"/>
    <w:basedOn w:val="a"/>
    <w:link w:val="a8"/>
    <w:uiPriority w:val="99"/>
    <w:semiHidden/>
    <w:unhideWhenUsed/>
    <w:rsid w:val="00B61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6FBC-6261-4D79-BB34-19A61939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Александр</cp:lastModifiedBy>
  <cp:revision>2</cp:revision>
  <dcterms:created xsi:type="dcterms:W3CDTF">2023-12-05T07:40:00Z</dcterms:created>
  <dcterms:modified xsi:type="dcterms:W3CDTF">2023-12-05T07:40:00Z</dcterms:modified>
</cp:coreProperties>
</file>